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[For Individual Stockholder]</w:t>
      </w:r>
      <w:r>
        <w:rPr>
          <w:rFonts w:ascii="Bookman Old Style" w:cs="Bookman Old Style" w:hAnsi="Bookman Old Style" w:eastAsia="Bookman Old Sty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922336</wp:posOffset>
                </wp:positionH>
                <wp:positionV relativeFrom="line">
                  <wp:posOffset>194942</wp:posOffset>
                </wp:positionV>
                <wp:extent cx="5943600" cy="1991998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91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nnotation subject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INSTRUCTIONS:</w:t>
                            </w:r>
                          </w:p>
                          <w:p>
                            <w:pPr>
                              <w:pStyle w:val="annotation text"/>
                              <w:jc w:val="both"/>
                            </w:pPr>
                          </w:p>
                          <w:p>
                            <w:pPr>
                              <w:pStyle w:val="annotation tex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Material erasures or alterations shall not affect the validity of the Proxy/Ballot provided that the stockholder affixes his/her full signature beside such erasures or alterations. The initials of the said stockholder are not sufficient to validate the Proxy/Ballot unless the said initials are also the said stockholder</w:t>
                            </w:r>
                            <w:r>
                              <w:rPr>
                                <w:rFonts w:ascii="Bookman Old Style" w:hAnsi="Bookman Old Style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s customary signature.</w:t>
                            </w:r>
                          </w:p>
                          <w:p>
                            <w:pPr>
                              <w:pStyle w:val="annotation text"/>
                              <w:tabs>
                                <w:tab w:val="left" w:pos="360"/>
                              </w:tabs>
                              <w:ind w:left="720" w:firstLine="0"/>
                              <w:jc w:val="both"/>
                              <w:rPr>
                                <w:rFonts w:ascii="Bookman Old Style" w:cs="Bookman Old Style" w:hAnsi="Bookman Old Style" w:eastAsia="Bookman Old Style"/>
                              </w:rPr>
                            </w:pPr>
                          </w:p>
                          <w:p>
                            <w:pPr>
                              <w:pStyle w:val="annotation tex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Please submit either (i) the original signed and accomplished Proxy/Ballot form by mail, courier or manual delivery to the front desk of the Corporation</w:t>
                            </w:r>
                            <w:r>
                              <w:rPr>
                                <w:rFonts w:ascii="Bookman Old Style" w:hAnsi="Bookman Old Style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s principal office at 35th Floor, Rufino Pacific Tower, 6784 Ayala Avenue, Makati City 1223; or (ii) a scanned copy thereof by email at the Corporation</w:t>
                            </w:r>
                            <w:r>
                              <w:rPr>
                                <w:rFonts w:ascii="Bookman Old Style" w:hAnsi="Bookman Old Style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 xml:space="preserve">s email address at mabuhayholdings@yahoo.com. Deadline for the submission of Proxy/Ballot is on or before 5:00 pm of November 16, 2021.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6pt;margin-top:15.3pt;width:468.0pt;height:156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nnotation subject"/>
                        <w:jc w:val="center"/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INSTRUCTIONS:</w:t>
                      </w:r>
                    </w:p>
                    <w:p>
                      <w:pPr>
                        <w:pStyle w:val="annotation text"/>
                        <w:jc w:val="both"/>
                      </w:pPr>
                    </w:p>
                    <w:p>
                      <w:pPr>
                        <w:pStyle w:val="annotation tex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Bookman Old Style" w:hAnsi="Bookman Old Style"/>
                          <w:rtl w:val="0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Material erasures or alterations shall not affect the validity of the Proxy/Ballot provided that the stockholder affixes his/her full signature beside such erasures or alterations. The initials of the said stockholder are not sufficient to validate the Proxy/Ballot unless the said initials are also the said stockholder</w:t>
                      </w:r>
                      <w:r>
                        <w:rPr>
                          <w:rFonts w:ascii="Bookman Old Style" w:hAnsi="Bookman Old Style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s customary signature.</w:t>
                      </w:r>
                    </w:p>
                    <w:p>
                      <w:pPr>
                        <w:pStyle w:val="annotation text"/>
                        <w:tabs>
                          <w:tab w:val="left" w:pos="360"/>
                        </w:tabs>
                        <w:ind w:left="720" w:firstLine="0"/>
                        <w:jc w:val="both"/>
                        <w:rPr>
                          <w:rFonts w:ascii="Bookman Old Style" w:cs="Bookman Old Style" w:hAnsi="Bookman Old Style" w:eastAsia="Bookman Old Style"/>
                        </w:rPr>
                      </w:pPr>
                    </w:p>
                    <w:p>
                      <w:pPr>
                        <w:pStyle w:val="annotation tex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Bookman Old Style" w:hAnsi="Bookman Old Style"/>
                          <w:rtl w:val="0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Please submit either (i) the original signed and accomplished Proxy/Ballot form by mail, courier or manual delivery to the front desk of the Corporation</w:t>
                      </w:r>
                      <w:r>
                        <w:rPr>
                          <w:rFonts w:ascii="Bookman Old Style" w:hAnsi="Bookman Old Style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s principal office at 35th Floor, Rufino Pacific Tower, 6784 Ayala Avenue, Makati City 1223; or (ii) a scanned copy thereof by email at the Corporation</w:t>
                      </w:r>
                      <w:r>
                        <w:rPr>
                          <w:rFonts w:ascii="Bookman Old Style" w:hAnsi="Bookman Old Style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 xml:space="preserve">s email address at mabuhayholdings@yahoo.com. Deadline for the submission of Proxy/Ballot is on or before 5:00 pm of November 16, 2021. 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Bookman Old Style" w:hAnsi="Bookman Old Style"/>
          <w:rtl w:val="0"/>
          <w:lang w:val="en-US"/>
        </w:rPr>
        <w:t xml:space="preserve">       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Body A"/>
        <w:jc w:val="both"/>
        <w:rPr>
          <w:b w:val="1"/>
          <w:bCs w:val="1"/>
          <w:i w:val="1"/>
          <w:iCs w:val="1"/>
        </w:rPr>
      </w:pPr>
    </w:p>
    <w:p>
      <w:pPr>
        <w:pStyle w:val="Title"/>
        <w:jc w:val="left"/>
        <w:rPr>
          <w:rFonts w:ascii="Bookman Old Style" w:cs="Bookman Old Style" w:hAnsi="Bookman Old Style" w:eastAsia="Bookman Old Style"/>
          <w:outline w:val="0"/>
          <w:color w:val="c00000"/>
          <w:sz w:val="40"/>
          <w:szCs w:val="4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rPr>
          <w:rFonts w:ascii="Bookman Old Style" w:cs="Bookman Old Style" w:hAnsi="Bookman Old Style" w:eastAsia="Bookman Old Style"/>
          <w:outline w:val="0"/>
          <w:color w:val="c00000"/>
          <w:sz w:val="40"/>
          <w:szCs w:val="4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Bookman Old Style" w:hAnsi="Bookman Old Style"/>
          <w:outline w:val="0"/>
          <w:color w:val="c00000"/>
          <w:sz w:val="40"/>
          <w:szCs w:val="40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PROXY/BALLOT FORM</w:t>
      </w:r>
    </w:p>
    <w:p>
      <w:pPr>
        <w:pStyle w:val="Body Text"/>
        <w:spacing w:before="6"/>
        <w:rPr>
          <w:rFonts w:ascii="Book Antiqua" w:cs="Book Antiqua" w:hAnsi="Book Antiqua" w:eastAsia="Book Antiqua"/>
          <w:b w:val="1"/>
          <w:bCs w:val="1"/>
          <w:sz w:val="22"/>
          <w:szCs w:val="22"/>
        </w:rPr>
      </w:pPr>
      <w:r>
        <w:rPr>
          <w:rFonts w:ascii="Book Antiqua" w:hAnsi="Book Antiqua"/>
          <w:b w:val="1"/>
          <w:bCs w:val="1"/>
          <w:sz w:val="22"/>
          <w:szCs w:val="22"/>
          <w:rtl w:val="0"/>
          <w:lang w:val="en-US"/>
        </w:rPr>
        <w:t xml:space="preserve">                                            MABUHAY HOLDINGS CORPORATION </w:t>
      </w:r>
    </w:p>
    <w:p>
      <w:pPr>
        <w:pStyle w:val="Heading"/>
        <w:spacing w:before="77" w:line="210" w:lineRule="exact"/>
        <w:jc w:val="both"/>
        <w:rPr>
          <w:rFonts w:ascii="Book Antiqua" w:cs="Book Antiqua" w:hAnsi="Book Antiqua" w:eastAsia="Book Antiqua"/>
          <w:b w:val="0"/>
          <w:bCs w:val="0"/>
        </w:rPr>
      </w:pPr>
    </w:p>
    <w:p>
      <w:pPr>
        <w:pStyle w:val="Body Text"/>
        <w:ind w:left="111" w:right="119" w:firstLine="0"/>
        <w:jc w:val="center"/>
        <w:rPr>
          <w:rFonts w:ascii="Book Antiqua" w:cs="Book Antiqua" w:hAnsi="Book Antiqua" w:eastAsia="Book Antiqua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en-US"/>
        </w:rPr>
        <w:t>[PLEASE CHECK OR MARK THE APPROPRIATE BOX BELOW]</w:t>
      </w:r>
    </w:p>
    <w:tbl>
      <w:tblPr>
        <w:tblW w:w="90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14"/>
        <w:gridCol w:w="490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Body Text"/>
              <w:ind w:right="119"/>
              <w:jc w:val="center"/>
            </w:pPr>
            <w:r>
              <w:rPr>
                <w:rFonts w:ascii="Book Antiqua" w:hAnsi="Book Antiqua"/>
                <w:b w:val="1"/>
                <w:bCs w:val="1"/>
                <w:sz w:val="22"/>
                <w:szCs w:val="22"/>
                <w:rtl w:val="0"/>
                <w:lang w:val="en-US"/>
              </w:rPr>
              <w:t>VOTING IN ABSENTIA: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Body Text"/>
              <w:ind w:right="119"/>
              <w:jc w:val="center"/>
            </w:pPr>
            <w:r>
              <w:rPr>
                <w:rFonts w:ascii="Book Antiqua" w:hAnsi="Book Antiqua"/>
                <w:b w:val="1"/>
                <w:bCs w:val="1"/>
                <w:sz w:val="22"/>
                <w:szCs w:val="22"/>
                <w:rtl w:val="0"/>
                <w:lang w:val="en-US"/>
              </w:rPr>
              <w:t>VOTING BY PROXY:</w:t>
            </w:r>
          </w:p>
        </w:tc>
      </w:tr>
      <w:tr>
        <w:tblPrEx>
          <w:shd w:val="clear" w:color="auto" w:fill="cdd4e9"/>
        </w:tblPrEx>
        <w:trPr>
          <w:trHeight w:val="4186" w:hRule="atLeast"/>
        </w:trPr>
        <w:tc>
          <w:tcPr>
            <w:tcW w:type="dxa" w:w="4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Body Text"/>
              <w:ind w:right="119"/>
              <w:rPr>
                <w:rFonts w:ascii="Book Antiqua" w:cs="Book Antiqua" w:hAnsi="Book Antiqua" w:eastAsia="Book Antiqua"/>
                <w:sz w:val="22"/>
                <w:szCs w:val="22"/>
                <w:lang w:val="en-US"/>
              </w:rPr>
            </w:pPr>
          </w:p>
          <w:p>
            <w:pPr>
              <w:pStyle w:val="Body Text"/>
              <w:bidi w:val="0"/>
              <w:ind w:left="720" w:right="119" w:firstLine="0"/>
              <w:jc w:val="both"/>
              <w:rPr>
                <w:rtl w:val="0"/>
              </w:rPr>
            </w:pPr>
            <w:r>
              <w:rPr>
                <w:rFonts w:ascii="Book Antiqua" w:hAnsi="Book Antiqua"/>
                <w:sz w:val="22"/>
                <w:szCs w:val="22"/>
                <w:rtl w:val="0"/>
                <w:lang w:val="en-US"/>
              </w:rPr>
              <w:t>The undersigned hereby votes as indicated below.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1"/>
              <w:rPr>
                <w:rFonts w:ascii="Book Antiqua" w:cs="Book Antiqua" w:hAnsi="Book Antiqua" w:eastAsia="Book Antiqua"/>
                <w:sz w:val="22"/>
                <w:szCs w:val="22"/>
                <w:lang w:val="en-US"/>
              </w:rPr>
            </w:pPr>
          </w:p>
          <w:p>
            <w:pPr>
              <w:pStyle w:val="Body Text"/>
              <w:bidi w:val="0"/>
              <w:spacing w:before="6"/>
              <w:ind w:left="796" w:right="0" w:firstLine="0"/>
              <w:jc w:val="left"/>
              <w:rPr>
                <w:rFonts w:ascii="Book Antiqua" w:cs="Book Antiqua" w:hAnsi="Book Antiqua" w:eastAsia="Book Antiqu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Book Antiqua" w:hAnsi="Book Antiqua"/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The Undersigned hereby appoints the Chairman of the Board of Directors of </w:t>
            </w:r>
            <w:r>
              <w:rPr>
                <w:rFonts w:ascii="Book Antiqua" w:hAnsi="Book Antiqu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MABUHAY HOLDINGS CORPORATION </w:t>
            </w:r>
          </w:p>
          <w:p>
            <w:pPr>
              <w:pStyle w:val="List Paragraph"/>
              <w:bidi w:val="0"/>
              <w:ind w:left="762" w:right="159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rtl w:val="0"/>
                <w:lang w:val="en-US"/>
              </w:rPr>
              <w:t xml:space="preserve">(the </w:t>
            </w:r>
            <w:r>
              <w:rPr>
                <w:rFonts w:ascii="Book Antiqua" w:hAnsi="Book Antiqua" w:hint="default"/>
                <w:rtl w:val="0"/>
                <w:lang w:val="en-US"/>
              </w:rPr>
              <w:t>“</w:t>
            </w:r>
            <w:r>
              <w:rPr>
                <w:rFonts w:ascii="Book Antiqua" w:hAnsi="Book Antiqua"/>
                <w:rtl w:val="0"/>
                <w:lang w:val="en-US"/>
              </w:rPr>
              <w:t>Corporation</w:t>
            </w:r>
            <w:r>
              <w:rPr>
                <w:rFonts w:ascii="Book Antiqua" w:hAnsi="Book Antiqua" w:hint="default"/>
                <w:rtl w:val="0"/>
                <w:lang w:val="en-US"/>
              </w:rPr>
              <w:t>”</w:t>
            </w:r>
            <w:r>
              <w:rPr>
                <w:rFonts w:ascii="Book Antiqua" w:hAnsi="Book Antiqua"/>
                <w:rtl w:val="0"/>
                <w:lang w:val="en-US"/>
              </w:rPr>
              <w:t xml:space="preserve">), or in his absence, the President of the Corporation to act for me/us and on my/our behalf at the </w:t>
            </w:r>
            <w:r>
              <w:rPr>
                <w:rFonts w:ascii="Book Antiqua" w:hAnsi="Book Antiqua"/>
                <w:b w:val="1"/>
                <w:bCs w:val="1"/>
                <w:rtl w:val="0"/>
                <w:lang w:val="en-US"/>
              </w:rPr>
              <w:t xml:space="preserve">MABUHAY HOLDINGS CORPORATION </w:t>
            </w:r>
            <w:r>
              <w:rPr>
                <w:rFonts w:ascii="Book Antiqua" w:hAnsi="Book Antiqua"/>
                <w:rtl w:val="0"/>
                <w:lang w:val="en-US"/>
              </w:rPr>
              <w:t>Annual Stockholders</w:t>
            </w:r>
            <w:r>
              <w:rPr>
                <w:rFonts w:ascii="Book Antiqua" w:hAnsi="Book Antiqua" w:hint="default"/>
                <w:rtl w:val="0"/>
                <w:lang w:val="en-US"/>
              </w:rPr>
              <w:t xml:space="preserve">’ </w:t>
            </w:r>
            <w:r>
              <w:rPr>
                <w:rFonts w:ascii="Book Antiqua" w:hAnsi="Book Antiqua"/>
                <w:rtl w:val="0"/>
                <w:lang w:val="en-US"/>
              </w:rPr>
              <w:t>Meeting to be held on November 26, 2021 (and as may be rescheduled and/or adjourned) and to vote for me/us as indicated below, or, if no such indication is given, as my/our proxy thinks fit:</w:t>
            </w:r>
          </w:p>
        </w:tc>
      </w:tr>
    </w:tbl>
    <w:p>
      <w:pPr>
        <w:pStyle w:val="Body Text"/>
        <w:widowControl w:val="0"/>
        <w:spacing w:line="240" w:lineRule="auto"/>
        <w:ind w:left="108" w:hanging="108"/>
        <w:jc w:val="center"/>
        <w:rPr>
          <w:rFonts w:ascii="Book Antiqua" w:cs="Book Antiqua" w:hAnsi="Book Antiqua" w:eastAsia="Book Antiqua"/>
          <w:i w:val="1"/>
          <w:iCs w:val="1"/>
        </w:rPr>
      </w:pPr>
    </w:p>
    <w:p>
      <w:pPr>
        <w:pStyle w:val="Body Text"/>
        <w:widowControl w:val="0"/>
        <w:spacing w:line="240" w:lineRule="auto"/>
        <w:jc w:val="center"/>
        <w:rPr>
          <w:rFonts w:ascii="Book Antiqua" w:cs="Book Antiqua" w:hAnsi="Book Antiqua" w:eastAsia="Book Antiqua"/>
          <w:i w:val="1"/>
          <w:iCs w:val="1"/>
        </w:rPr>
      </w:pPr>
    </w:p>
    <w:p>
      <w:pPr>
        <w:pStyle w:val="Body Text"/>
        <w:widowControl w:val="0"/>
        <w:spacing w:line="240" w:lineRule="auto"/>
        <w:rPr>
          <w:rFonts w:ascii="Book Antiqua" w:cs="Book Antiqua" w:hAnsi="Book Antiqua" w:eastAsia="Book Antiqua"/>
          <w:i w:val="1"/>
          <w:iCs w:val="1"/>
          <w:sz w:val="22"/>
          <w:szCs w:val="22"/>
        </w:rPr>
      </w:pPr>
    </w:p>
    <w:p>
      <w:pPr>
        <w:pStyle w:val="Body Text"/>
        <w:ind w:right="119"/>
        <w:rPr>
          <w:rFonts w:ascii="Book Antiqua" w:cs="Book Antiqua" w:hAnsi="Book Antiqua" w:eastAsia="Book Antiqua"/>
        </w:rPr>
      </w:pPr>
    </w:p>
    <w:tbl>
      <w:tblPr>
        <w:tblW w:w="91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4"/>
        <w:gridCol w:w="5403"/>
        <w:gridCol w:w="817"/>
        <w:gridCol w:w="1198"/>
        <w:gridCol w:w="1170"/>
      </w:tblGrid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1" w:firstLine="0"/>
              <w:jc w:val="center"/>
            </w:pPr>
            <w:r>
              <w:rPr>
                <w:rFonts w:ascii="Book Antiqua" w:hAnsi="Book Antiqu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Please check or mark the appropriate box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7" w:lineRule="exact"/>
              <w:ind w:left="105" w:firstLine="0"/>
              <w:rPr>
                <w:rFonts w:ascii="Book Antiqua" w:cs="Book Antiqua" w:hAnsi="Book Antiqua" w:eastAsia="Book Antiqua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187" w:lineRule="exact"/>
              <w:ind w:left="105" w:right="0" w:firstLine="0"/>
              <w:jc w:val="center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sz w:val="20"/>
                <w:szCs w:val="20"/>
                <w:rtl w:val="0"/>
                <w:lang w:val="en-US"/>
              </w:rPr>
              <w:t>RESOLUTION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7" w:lineRule="exact"/>
              <w:ind w:left="107" w:firstLine="0"/>
              <w:rPr>
                <w:rFonts w:ascii="Book Antiqua" w:cs="Book Antiqua" w:hAnsi="Book Antiqua" w:eastAsia="Book Antiqua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187" w:lineRule="exact"/>
              <w:ind w:left="107" w:right="0" w:firstLine="0"/>
              <w:jc w:val="center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FOR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7" w:lineRule="exact"/>
              <w:ind w:left="105" w:firstLine="0"/>
              <w:rPr>
                <w:rFonts w:ascii="Book Antiqua" w:cs="Book Antiqua" w:hAnsi="Book Antiqua" w:eastAsia="Book Antiqua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187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AGAINST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7" w:lineRule="exact"/>
              <w:ind w:left="105" w:firstLine="0"/>
              <w:rPr>
                <w:rFonts w:ascii="Book Antiqua" w:cs="Book Antiqua" w:hAnsi="Book Antiqua" w:eastAsia="Book Antiqua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spacing w:line="187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ABSTAIN</w:t>
            </w:r>
          </w:p>
        </w:tc>
      </w:tr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5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677"/>
            </w:tcMar>
            <w:vAlign w:val="top"/>
          </w:tcPr>
          <w:p>
            <w:pPr>
              <w:pStyle w:val="Table Paragraph"/>
              <w:ind w:left="105" w:right="597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Approval/ratification of the minutes of the previous  meeting of the stockholders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   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5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667"/>
            </w:tcMar>
            <w:vAlign w:val="top"/>
          </w:tcPr>
          <w:p>
            <w:pPr>
              <w:pStyle w:val="Table Paragraph"/>
              <w:ind w:left="105" w:right="587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Approval the management report and the 2020 audited financial statements 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05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6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Ratification of all acts of the Board of Directors and Management from the last stockholders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meeting to date 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05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6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Appointment of Independent Auditor (Isla Lipana &amp; Co.)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9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rFonts w:ascii="Book Antiqua" w:cs="Book Antiqua" w:hAnsi="Book Antiqua" w:eastAsia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Election of Directors for the term 2021-2022.</w:t>
            </w:r>
          </w:p>
          <w:p>
            <w:pPr>
              <w:pStyle w:val="Body A"/>
              <w:bidi w:val="0"/>
              <w:ind w:left="446" w:right="175" w:hanging="360"/>
              <w:jc w:val="both"/>
              <w:rPr>
                <w:rtl w:val="0"/>
              </w:rPr>
            </w:pPr>
            <w:r>
              <w:rPr>
                <w:rFonts w:ascii="Book Antiqua" w:hAnsi="Book Antiqua"/>
                <w:rtl w:val="0"/>
                <w:lang w:val="en-US"/>
              </w:rPr>
              <w:t>(</w:t>
            </w:r>
            <w:r>
              <w:rPr>
                <w:rFonts w:ascii="Book Antiqua" w:hAnsi="Book Antiqua"/>
                <w:b w:val="1"/>
                <w:bCs w:val="1"/>
                <w:rtl w:val="0"/>
                <w:lang w:val="en-US"/>
              </w:rPr>
              <w:t>Note</w:t>
            </w:r>
            <w:r>
              <w:rPr>
                <w:rFonts w:ascii="Book Antiqua" w:hAnsi="Book Antiqua"/>
                <w:rtl w:val="0"/>
                <w:lang w:val="en-US"/>
              </w:rPr>
              <w:t>: If you want to vote by cumulative voting, kindly also indicate opposite the name of the nominee director/s that you are voting FOR, the number of votes that you want to give such nominee director/s, provided that the total number of votes cast shall not exceed the number of shares owned multiplied by the number of directors to be elected).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  <w:spacing w:line="206" w:lineRule="exact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1. Roberto V. San Jose </w:t>
            </w:r>
            <w:r>
              <w:rPr>
                <w:rFonts w:ascii="Book Antiqua" w:cs="Book Antiqua" w:hAnsi="Book Antiqua" w:eastAsia="Book Antiqua"/>
                <w:sz w:val="20"/>
                <w:szCs w:val="20"/>
                <w:rtl w:val="0"/>
                <w:lang w:val="es-ES_tradnl"/>
              </w:rPr>
              <w:tab/>
              <w:t xml:space="preserve">           Director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  <w:spacing w:line="206" w:lineRule="exact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2. Esteban G. Pe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en-US"/>
              </w:rPr>
              <w:t>ñ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a Sy                Director</w:t>
            </w:r>
            <w:r>
              <w:rPr>
                <w:rFonts w:ascii="Book Antiqua" w:cs="Book Antiqua" w:hAnsi="Book Antiqua" w:eastAsia="Book Antiqua"/>
                <w:sz w:val="20"/>
                <w:szCs w:val="20"/>
                <w:rtl w:val="0"/>
                <w:lang w:val="es-ES_tradnl"/>
              </w:rPr>
              <w:tab/>
              <w:t xml:space="preserve">                                                            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2"/>
              </w:tabs>
              <w:spacing w:line="206" w:lineRule="exact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3. Ana Maria Katigbak-Lim      Director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</w:pPr>
            <w:r>
              <w:rPr>
                <w:rFonts w:ascii="Book Antiqua" w:hAnsi="Book Antiqua"/>
                <w:sz w:val="20"/>
                <w:szCs w:val="20"/>
                <w:rtl w:val="0"/>
                <w:lang w:val="es-ES_tradnl"/>
              </w:rPr>
              <w:t>4. Andrew Charles Ferguson     Director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5. Rodolfo D. Santiago        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s-ES_tradnl"/>
              </w:rPr>
              <w:t>(Independent Director)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3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6. Rodrigo B. Supe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en-US"/>
              </w:rPr>
              <w:t>ñ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a            (</w:t>
            </w:r>
            <w:r>
              <w:rPr>
                <w:rFonts w:ascii="Book Antiqua" w:hAnsi="Book Antiqua"/>
                <w:sz w:val="20"/>
                <w:szCs w:val="20"/>
                <w:rtl w:val="0"/>
                <w:lang w:val="es-ES_tradnl"/>
              </w:rPr>
              <w:t>Independent Director)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4"/>
              </w:tabs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7. Steven Gamboa Virata       (</w:t>
            </w:r>
            <w:r>
              <w:rPr>
                <w:rFonts w:ascii="Book Antiqua" w:hAnsi="Book Antiqua"/>
                <w:sz w:val="20"/>
                <w:szCs w:val="20"/>
                <w:rtl w:val="0"/>
                <w:lang w:val="es-ES_tradnl"/>
              </w:rPr>
              <w:t>Independent Director)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spacing w:line="240" w:lineRule="auto"/>
        <w:ind w:left="108" w:hanging="108"/>
        <w:jc w:val="left"/>
        <w:rPr>
          <w:rFonts w:ascii="Book Antiqua" w:cs="Book Antiqua" w:hAnsi="Book Antiqua" w:eastAsia="Book Antiqua"/>
        </w:rPr>
      </w:pPr>
    </w:p>
    <w:p>
      <w:pPr>
        <w:pStyle w:val="Body Text"/>
        <w:widowControl w:val="0"/>
        <w:spacing w:line="240" w:lineRule="auto"/>
        <w:rPr>
          <w:rFonts w:ascii="Book Antiqua" w:cs="Book Antiqua" w:hAnsi="Book Antiqua" w:eastAsia="Book Antiqua"/>
        </w:rPr>
      </w:pPr>
    </w:p>
    <w:p>
      <w:pPr>
        <w:pStyle w:val="Body Text"/>
        <w:rPr>
          <w:rFonts w:ascii="Book Antiqua" w:cs="Book Antiqua" w:hAnsi="Book Antiqua" w:eastAsia="Book Antiqua"/>
        </w:rPr>
      </w:pPr>
    </w:p>
    <w:p>
      <w:pPr>
        <w:pStyle w:val="Body A"/>
        <w:rPr>
          <w:rFonts w:ascii="Book Antiqua" w:cs="Book Antiqua" w:hAnsi="Book Antiqua" w:eastAsia="Book Antiqua"/>
          <w:b w:val="1"/>
          <w:bCs w:val="1"/>
          <w:u w:val="single"/>
          <w:lang w:val="en-US"/>
        </w:rPr>
      </w:pPr>
      <w:r>
        <w:rPr>
          <w:rFonts w:ascii="Book Antiqua" w:hAnsi="Book Antiqua"/>
          <w:b w:val="1"/>
          <w:bCs w:val="1"/>
          <w:u w:val="single"/>
          <w:rtl w:val="0"/>
          <w:lang w:val="en-US"/>
        </w:rPr>
        <w:t>IN CASE THIS PROXY/BALLOT IS SIGNED AND RETURNED IN BLANK</w:t>
      </w:r>
    </w:p>
    <w:p>
      <w:pPr>
        <w:pStyle w:val="Body A"/>
        <w:jc w:val="both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If no instructions are indicated on a returned and duly signed proxy, the shares represented by the proxy will be voted:</w:t>
      </w: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A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- FOR the approval of the minutes of previous meeting of the stockholders;</w:t>
      </w:r>
    </w:p>
    <w:p>
      <w:pPr>
        <w:pStyle w:val="Body A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- FOR the approval of the management report for 2020 audited financial statements;</w:t>
      </w:r>
    </w:p>
    <w:p>
      <w:pPr>
        <w:pStyle w:val="Body A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en-US"/>
        </w:rPr>
        <w:t xml:space="preserve">- FOR the confirmation and ratification of all acts of the Board of Directors and Management from the last </w:t>
      </w:r>
      <w:r>
        <w:rPr>
          <w:rFonts w:ascii="Book Antiqua" w:hAnsi="Book Antiqua"/>
          <w:rtl w:val="0"/>
          <w:lang w:val="de-DE"/>
        </w:rPr>
        <w:t>stockholders</w:t>
      </w:r>
      <w:r>
        <w:rPr>
          <w:rFonts w:ascii="Book Antiqua" w:hAnsi="Book Antiqua" w:hint="default"/>
          <w:rtl w:val="0"/>
          <w:lang w:val="en-US"/>
        </w:rPr>
        <w:t xml:space="preserve">’ </w:t>
      </w:r>
      <w:r>
        <w:rPr>
          <w:rFonts w:ascii="Book Antiqua" w:hAnsi="Book Antiqua"/>
          <w:rtl w:val="0"/>
          <w:lang w:val="en-US"/>
        </w:rPr>
        <w:t>meeting to date;</w:t>
      </w:r>
    </w:p>
    <w:p>
      <w:pPr>
        <w:pStyle w:val="Body A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en-US"/>
        </w:rPr>
        <w:t>- FOR the election of the following directors for the term 202</w:t>
      </w:r>
      <w:r>
        <w:rPr>
          <w:rFonts w:ascii="Book Antiqua" w:hAnsi="Book Antiqua"/>
          <w:rtl w:val="0"/>
          <w:lang w:val="de-DE"/>
        </w:rPr>
        <w:t>1-2022:</w:t>
      </w:r>
    </w:p>
    <w:p>
      <w:pPr>
        <w:pStyle w:val="Body A"/>
        <w:rPr>
          <w:rFonts w:ascii="Book Antiqua" w:cs="Book Antiqua" w:hAnsi="Book Antiqua" w:eastAsia="Book Antiqua"/>
          <w:lang w:val="en-US"/>
        </w:rPr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</w:rPr>
        <w:t>Roberto V. San Jose (Director)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</w:rPr>
        <w:t>Esteban G. Pe</w:t>
      </w:r>
      <w:r>
        <w:rPr>
          <w:rFonts w:ascii="Book Antiqua" w:hAnsi="Book Antiqua" w:hint="default"/>
          <w:rtl w:val="0"/>
          <w:lang w:val="de-DE"/>
        </w:rPr>
        <w:t>ñ</w:t>
      </w:r>
      <w:r>
        <w:rPr>
          <w:rFonts w:ascii="Book Antiqua" w:hAnsi="Book Antiqua"/>
          <w:rtl w:val="0"/>
          <w:lang w:val="de-DE"/>
        </w:rPr>
        <w:t>a Sy</w:t>
      </w:r>
      <w:r>
        <w:rPr>
          <w:rFonts w:ascii="Book Antiqua" w:hAnsi="Book Antiqua"/>
          <w:rtl w:val="0"/>
          <w:lang w:val="es-ES_tradnl"/>
        </w:rPr>
        <w:t xml:space="preserve">  (Director)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</w:rPr>
        <w:t>Ana Maria Katigbak-Lim</w:t>
      </w:r>
      <w:r>
        <w:rPr>
          <w:rFonts w:ascii="Book Antiqua" w:hAnsi="Book Antiqua"/>
          <w:rtl w:val="0"/>
          <w:lang w:val="es-ES_tradnl"/>
        </w:rPr>
        <w:t xml:space="preserve"> (Director)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es-ES_tradnl"/>
        </w:rPr>
      </w:pPr>
      <w:r>
        <w:rPr>
          <w:rFonts w:ascii="Book Antiqua" w:hAnsi="Book Antiqua"/>
          <w:rtl w:val="0"/>
          <w:lang w:val="es-ES_tradnl"/>
        </w:rPr>
        <w:t xml:space="preserve">Andrew Charles Ferguson (Director)           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</w:rPr>
        <w:t xml:space="preserve">Rodolfo D. Santiago </w:t>
      </w:r>
      <w:r>
        <w:rPr>
          <w:rFonts w:ascii="Book Antiqua" w:hAnsi="Book Antiqua"/>
          <w:rtl w:val="0"/>
          <w:lang w:val="es-ES_tradnl"/>
        </w:rPr>
        <w:t>(Independent Director)</w:t>
        <w:tab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  <w14:textOutline w14:w="12700" w14:cap="flat">
            <w14:noFill/>
            <w14:miter w14:lim="400000"/>
          </w14:textOutline>
        </w:rPr>
        <w:t>Rodrigo B. Supe</w:t>
      </w:r>
      <w:r>
        <w:rPr>
          <w:rFonts w:ascii="Book Antiqua" w:hAnsi="Book Antiqua" w:hint="default"/>
          <w:rtl w:val="0"/>
          <w:lang w:val="de-DE"/>
          <w14:textOutline w14:w="12700" w14:cap="flat">
            <w14:noFill/>
            <w14:miter w14:lim="400000"/>
          </w14:textOutline>
        </w:rPr>
        <w:t>ñ</w:t>
      </w:r>
      <w:r>
        <w:rPr>
          <w:rFonts w:ascii="Book Antiqua" w:hAnsi="Book Antiqua"/>
          <w:rtl w:val="0"/>
          <w:lang w:val="de-DE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Book Antiqua" w:hAnsi="Book Antiqua"/>
          <w:rtl w:val="0"/>
          <w:lang w:val="es-ES_tradnl"/>
        </w:rPr>
        <w:t>(Independent Director)</w:t>
      </w:r>
      <w:r>
        <w:rPr>
          <w:rFonts w:ascii="Book Antiqua" w:hAnsi="Book Antiqua"/>
          <w:rtl w:val="0"/>
          <w:lang w:val="de-DE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Book Antiqua" w:hAnsi="Book Antiqua"/>
          <w:rtl w:val="0"/>
          <w:lang w:val="de-DE"/>
        </w:rPr>
      </w:pPr>
      <w:r>
        <w:rPr>
          <w:rFonts w:ascii="Book Antiqua" w:hAnsi="Book Antiqua"/>
          <w:rtl w:val="0"/>
          <w:lang w:val="de-DE"/>
          <w14:textOutline w14:w="12700" w14:cap="flat">
            <w14:noFill/>
            <w14:miter w14:lim="400000"/>
          </w14:textOutline>
        </w:rPr>
        <w:t xml:space="preserve">Steven Gamboa Virata </w:t>
      </w:r>
      <w:r>
        <w:rPr>
          <w:rFonts w:ascii="Book Antiqua" w:hAnsi="Book Antiqua"/>
          <w:rtl w:val="0"/>
          <w:lang w:val="es-ES_tradnl"/>
        </w:rPr>
        <w:t>(Independent Director)</w:t>
      </w:r>
      <w:r>
        <w:rPr>
          <w:rFonts w:ascii="Book Antiqua" w:hAnsi="Book Antiqua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          </w:t>
      </w:r>
      <w:r>
        <w:rPr>
          <w:rFonts w:ascii="Book Antiqua" w:hAnsi="Book Antiqua"/>
          <w:rtl w:val="0"/>
          <w:lang w:val="es-ES_tradnl"/>
        </w:rPr>
        <w:t xml:space="preserve">                     </w:t>
      </w:r>
    </w:p>
    <w:p>
      <w:pPr>
        <w:pStyle w:val="Body A"/>
        <w:widowControl w:val="0"/>
        <w:rPr>
          <w:rFonts w:ascii="Book Antiqua" w:cs="Book Antiqua" w:hAnsi="Book Antiqua" w:eastAsia="Book Antiqua"/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- FOR the approval of the appointment of Isla Lipana &amp; Co. (PricewaterhouseCoopers-Philippines) as the Corporation</w:t>
      </w:r>
      <w:r>
        <w:rPr>
          <w:rFonts w:ascii="Book Antiqua" w:hAnsi="Book Antiqua" w:hint="default"/>
          <w:rtl w:val="0"/>
          <w:lang w:val="en-US"/>
        </w:rPr>
        <w:t>’</w:t>
      </w:r>
      <w:r>
        <w:rPr>
          <w:rFonts w:ascii="Book Antiqua" w:hAnsi="Book Antiqua"/>
          <w:rtl w:val="0"/>
          <w:lang w:val="en-US"/>
        </w:rPr>
        <w:t>s external auditors; and</w:t>
      </w: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A"/>
        <w:ind w:left="270" w:hanging="270"/>
        <w:jc w:val="both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- TO authorize the Proxy to vote according to the Proxy</w:t>
      </w:r>
      <w:r>
        <w:rPr>
          <w:rFonts w:ascii="Book Antiqua" w:hAnsi="Book Antiqua" w:hint="default"/>
          <w:rtl w:val="0"/>
          <w:lang w:val="en-US"/>
        </w:rPr>
        <w:t>’</w:t>
      </w:r>
      <w:r>
        <w:rPr>
          <w:rFonts w:ascii="Book Antiqua" w:hAnsi="Book Antiqua"/>
          <w:rtl w:val="0"/>
          <w:lang w:val="en-US"/>
        </w:rPr>
        <w:t>s discretion on any matter that may come before the meeting</w:t>
      </w:r>
    </w:p>
    <w:p>
      <w:pPr>
        <w:pStyle w:val="Body A"/>
        <w:jc w:val="both"/>
        <w:rPr>
          <w:rFonts w:ascii="Book Antiqua" w:cs="Book Antiqua" w:hAnsi="Book Antiqua" w:eastAsia="Book Antiqua"/>
        </w:rPr>
      </w:pPr>
    </w:p>
    <w:p>
      <w:pPr>
        <w:pStyle w:val="Body A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A Proxy/Ballot that is returned without a signature shall not be valid.</w:t>
      </w: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A"/>
        <w:rPr>
          <w:rFonts w:ascii="Book Antiqua" w:cs="Book Antiqua" w:hAnsi="Book Antiqua" w:eastAsia="Book Antiqua"/>
          <w:b w:val="1"/>
          <w:bCs w:val="1"/>
          <w:u w:val="single"/>
          <w:lang w:val="en-US"/>
        </w:rPr>
      </w:pPr>
      <w:r>
        <w:rPr>
          <w:rFonts w:ascii="Book Antiqua" w:hAnsi="Book Antiqua"/>
          <w:b w:val="1"/>
          <w:bCs w:val="1"/>
          <w:u w:val="single"/>
          <w:rtl w:val="0"/>
          <w:lang w:val="en-US"/>
        </w:rPr>
        <w:t>VALIDATION OF PROXIES</w:t>
      </w:r>
    </w:p>
    <w:p>
      <w:pPr>
        <w:pStyle w:val="Body A"/>
        <w:jc w:val="both"/>
        <w:rPr>
          <w:rFonts w:ascii="Book Antiqua" w:cs="Book Antiqua" w:hAnsi="Book Antiqua" w:eastAsia="Book Antiqua"/>
          <w:lang w:val="en-US"/>
        </w:rPr>
      </w:pPr>
      <w:r>
        <w:rPr>
          <w:rFonts w:ascii="Book Antiqua" w:hAnsi="Book Antiqua"/>
          <w:rtl w:val="0"/>
          <w:lang w:val="en-US"/>
        </w:rPr>
        <w:t>Validation of proxies shall be on November 19, 2021 at 2:00 pm at the principal office of the Corporation.</w:t>
      </w: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A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u w:val="single"/>
          <w:rtl w:val="0"/>
          <w:lang w:val="en-US"/>
        </w:rPr>
        <w:t>REVOCATION OF PROXIES</w:t>
      </w:r>
      <w:r>
        <w:rPr>
          <w:rFonts w:ascii="Book Antiqua" w:hAnsi="Book Antiqua"/>
          <w:b w:val="1"/>
          <w:bCs w:val="1"/>
          <w:rtl w:val="0"/>
          <w:lang w:val="de-DE"/>
        </w:rPr>
        <w:t>:</w:t>
      </w:r>
    </w:p>
    <w:p>
      <w:pPr>
        <w:pStyle w:val="Body A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en-US"/>
        </w:rPr>
        <w:t>A stockholder giving a proxy has the power to revoke it at any time before the validation of proxies on November 19, 2021 at 2:00 pm by submitting either (i) the original signed letter of revocation by mail, courier or manual delivery to the front desk of the Corporation</w:t>
      </w:r>
      <w:r>
        <w:rPr>
          <w:rFonts w:ascii="Book Antiqua" w:hAnsi="Book Antiqua" w:hint="default"/>
          <w:rtl w:val="0"/>
          <w:lang w:val="en-US"/>
        </w:rPr>
        <w:t>’</w:t>
      </w:r>
      <w:r>
        <w:rPr>
          <w:rFonts w:ascii="Book Antiqua" w:hAnsi="Book Antiqua"/>
          <w:rtl w:val="0"/>
          <w:lang w:val="en-US"/>
        </w:rPr>
        <w:t>s principal office at 35th Floor, Rufino Pacific Tower, 6784 Ayala Avenue, Makati City 1223</w:t>
      </w:r>
      <w:r>
        <w:rPr>
          <w:rFonts w:ascii="Book Antiqua" w:hAnsi="Book Antiqua"/>
          <w:b w:val="1"/>
          <w:bCs w:val="1"/>
          <w:rtl w:val="0"/>
          <w:lang w:val="de-DE"/>
        </w:rPr>
        <w:t>;</w:t>
      </w:r>
      <w:r>
        <w:rPr>
          <w:rFonts w:ascii="Book Antiqua" w:hAnsi="Book Antiqua"/>
          <w:rtl w:val="0"/>
          <w:lang w:val="en-US"/>
        </w:rPr>
        <w:t xml:space="preserve"> or (ii) a scanned copy thereof by email at the Club</w:t>
      </w:r>
      <w:r>
        <w:rPr>
          <w:rFonts w:ascii="Book Antiqua" w:hAnsi="Book Antiqua" w:hint="default"/>
          <w:rtl w:val="0"/>
          <w:lang w:val="en-US"/>
        </w:rPr>
        <w:t>’</w:t>
      </w:r>
      <w:r>
        <w:rPr>
          <w:rFonts w:ascii="Book Antiqua" w:hAnsi="Book Antiqua"/>
          <w:rtl w:val="0"/>
          <w:lang w:val="en-US"/>
        </w:rPr>
        <w:t xml:space="preserve">s email address atmabuhayholdings@yahoo.com. </w:t>
      </w: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A"/>
        <w:ind w:left="4320" w:firstLine="0"/>
      </w:pPr>
    </w:p>
    <w:tbl>
      <w:tblPr>
        <w:tblW w:w="870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5"/>
        <w:gridCol w:w="5310"/>
      </w:tblGrid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3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Bookman Old Style" w:cs="Bookman Old Style" w:hAnsi="Bookman Old Style" w:eastAsia="Bookman Old Style"/>
              </w:rPr>
            </w:pPr>
            <w:r>
              <w:rPr>
                <w:rFonts w:ascii="Bookman Old Style" w:hAnsi="Bookman Old Style"/>
                <w:rtl w:val="0"/>
                <w:lang w:val="en-US"/>
              </w:rPr>
              <w:t xml:space="preserve">                                                                   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rtl w:val="0"/>
                <w:lang w:val="en-US"/>
              </w:rPr>
              <w:t>_____________________________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man Old Style" w:hAnsi="Bookman Old Style"/>
                <w:rtl w:val="0"/>
                <w:lang w:val="en-US"/>
              </w:rPr>
              <w:t xml:space="preserve">                   Date </w:t>
            </w:r>
          </w:p>
        </w:tc>
        <w:tc>
          <w:tcPr>
            <w:tcW w:type="dxa" w:w="5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Bookman Old Style" w:cs="Bookman Old Style" w:hAnsi="Bookman Old Style" w:eastAsia="Bookman Old Style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rtl w:val="0"/>
                <w:lang w:val="en-US"/>
              </w:rPr>
              <w:t xml:space="preserve">     _____________________________________________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Bookman Old Style" w:hAnsi="Bookman Old Style"/>
                <w:rtl w:val="0"/>
                <w:lang w:val="en-US"/>
              </w:rPr>
              <w:t xml:space="preserve"> (Signature above printed name of Stockholder)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rPr>
          <w:rFonts w:ascii="Book Antiqua" w:cs="Book Antiqua" w:hAnsi="Book Antiqua" w:eastAsia="Book Antiqua"/>
        </w:rPr>
      </w:pPr>
    </w:p>
    <w:p>
      <w:pPr>
        <w:pStyle w:val="Body Text"/>
        <w:rPr>
          <w:rFonts w:ascii="Book Antiqua" w:cs="Book Antiqua" w:hAnsi="Book Antiqua" w:eastAsia="Book Antiqua"/>
        </w:rPr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</w:p>
    <w:p>
      <w:pPr>
        <w:pStyle w:val="Title"/>
        <w:tabs>
          <w:tab w:val="clear" w:pos="4824"/>
        </w:tabs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center" w:pos="4824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nnotation subject">
    <w:name w:val="annotation subjec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53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